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B32" w:rsidRPr="00621B32" w:rsidRDefault="00621B32" w:rsidP="00D953B3">
      <w:pPr>
        <w:spacing w:line="276" w:lineRule="auto"/>
        <w:jc w:val="center"/>
        <w:rPr>
          <w:rFonts w:ascii="Times New Roman" w:hAnsi="Times New Roman" w:cs="Times New Roman"/>
          <w:b/>
          <w:bCs/>
          <w:i/>
          <w:sz w:val="24"/>
          <w:szCs w:val="24"/>
          <w:lang w:val="en-US"/>
        </w:rPr>
      </w:pPr>
      <w:r w:rsidRPr="00621B32">
        <w:rPr>
          <w:rFonts w:ascii="Times New Roman" w:hAnsi="Times New Roman" w:cs="Times New Roman"/>
          <w:b/>
          <w:bCs/>
          <w:i/>
          <w:sz w:val="24"/>
          <w:szCs w:val="24"/>
          <w:lang w:val="en-US"/>
        </w:rPr>
        <w:t xml:space="preserve">II International Scientific and practical conference </w:t>
      </w:r>
      <w:r>
        <w:rPr>
          <w:rFonts w:ascii="Times New Roman" w:hAnsi="Times New Roman" w:cs="Times New Roman"/>
          <w:b/>
          <w:bCs/>
          <w:i/>
          <w:sz w:val="24"/>
          <w:szCs w:val="24"/>
          <w:lang w:val="en-US"/>
        </w:rPr>
        <w:br/>
      </w:r>
      <w:r w:rsidRPr="00621B32">
        <w:rPr>
          <w:rFonts w:ascii="Times New Roman" w:hAnsi="Times New Roman" w:cs="Times New Roman"/>
          <w:b/>
          <w:bCs/>
          <w:i/>
          <w:sz w:val="24"/>
          <w:szCs w:val="24"/>
          <w:lang w:val="en-US"/>
        </w:rPr>
        <w:t>"Teaching foreign languages in an open multicultural space".</w:t>
      </w:r>
      <w:bookmarkStart w:id="0" w:name="_GoBack"/>
      <w:bookmarkEnd w:id="0"/>
    </w:p>
    <w:p w:rsidR="00D953B3" w:rsidRPr="00D953B3" w:rsidRDefault="00D953B3" w:rsidP="00D953B3">
      <w:pPr>
        <w:spacing w:line="276" w:lineRule="auto"/>
        <w:jc w:val="center"/>
        <w:rPr>
          <w:rFonts w:ascii="Times New Roman" w:hAnsi="Times New Roman" w:cs="Times New Roman"/>
          <w:b/>
          <w:bCs/>
          <w:sz w:val="24"/>
          <w:szCs w:val="24"/>
          <w:lang w:val="en-US"/>
        </w:rPr>
      </w:pPr>
      <w:proofErr w:type="spellStart"/>
      <w:r w:rsidRPr="00D953B3">
        <w:rPr>
          <w:rFonts w:ascii="Times New Roman" w:hAnsi="Times New Roman" w:cs="Times New Roman"/>
          <w:b/>
          <w:bCs/>
          <w:sz w:val="24"/>
          <w:szCs w:val="24"/>
          <w:lang w:val="en-US"/>
        </w:rPr>
        <w:t>Lomonosov</w:t>
      </w:r>
      <w:proofErr w:type="spellEnd"/>
      <w:r w:rsidRPr="00D953B3">
        <w:rPr>
          <w:rFonts w:ascii="Times New Roman" w:hAnsi="Times New Roman" w:cs="Times New Roman"/>
          <w:b/>
          <w:bCs/>
          <w:sz w:val="24"/>
          <w:szCs w:val="24"/>
          <w:lang w:val="en-US"/>
        </w:rPr>
        <w:t xml:space="preserve"> Moscow State University</w:t>
      </w:r>
    </w:p>
    <w:p w:rsidR="00D953B3" w:rsidRPr="00D953B3" w:rsidRDefault="00D953B3" w:rsidP="00D953B3">
      <w:pPr>
        <w:spacing w:line="276" w:lineRule="auto"/>
        <w:jc w:val="center"/>
        <w:rPr>
          <w:rFonts w:ascii="Times New Roman" w:hAnsi="Times New Roman" w:cs="Times New Roman"/>
          <w:b/>
          <w:bCs/>
          <w:sz w:val="24"/>
          <w:szCs w:val="24"/>
          <w:lang w:val="en-US"/>
        </w:rPr>
      </w:pPr>
      <w:r w:rsidRPr="00D953B3">
        <w:rPr>
          <w:rFonts w:ascii="Times New Roman" w:hAnsi="Times New Roman" w:cs="Times New Roman"/>
          <w:b/>
          <w:bCs/>
          <w:sz w:val="24"/>
          <w:szCs w:val="24"/>
          <w:lang w:val="en-US"/>
        </w:rPr>
        <w:t>Faculty of Foreign Languages and Regional Studies</w:t>
      </w:r>
    </w:p>
    <w:p w:rsidR="00D953B3" w:rsidRPr="00621B32" w:rsidRDefault="00D953B3" w:rsidP="00D953B3">
      <w:pPr>
        <w:spacing w:line="276" w:lineRule="auto"/>
        <w:jc w:val="center"/>
        <w:rPr>
          <w:rFonts w:ascii="Times New Roman" w:hAnsi="Times New Roman" w:cs="Times New Roman"/>
          <w:b/>
          <w:bCs/>
          <w:sz w:val="24"/>
          <w:szCs w:val="24"/>
          <w:lang w:val="en-US"/>
        </w:rPr>
      </w:pPr>
      <w:r w:rsidRPr="00621B32">
        <w:rPr>
          <w:rFonts w:ascii="Times New Roman" w:hAnsi="Times New Roman" w:cs="Times New Roman"/>
          <w:b/>
          <w:bCs/>
          <w:sz w:val="24"/>
          <w:szCs w:val="24"/>
          <w:lang w:val="en-US"/>
        </w:rPr>
        <w:t>December 1-2, 2023</w:t>
      </w:r>
    </w:p>
    <w:p w:rsidR="00D953B3" w:rsidRPr="00621B32" w:rsidRDefault="00D953B3" w:rsidP="00D953B3">
      <w:pPr>
        <w:shd w:val="clear" w:color="auto" w:fill="FFFFFF"/>
        <w:spacing w:after="0" w:line="276" w:lineRule="auto"/>
        <w:ind w:firstLine="708"/>
        <w:outlineLvl w:val="0"/>
        <w:rPr>
          <w:rStyle w:val="a4"/>
          <w:rFonts w:ascii="Times New Roman" w:hAnsi="Times New Roman" w:cs="Times New Roman"/>
          <w:i/>
          <w:iCs/>
          <w:color w:val="2C2D2E"/>
          <w:sz w:val="24"/>
          <w:szCs w:val="24"/>
          <w:shd w:val="clear" w:color="auto" w:fill="FFFFFF"/>
          <w:lang w:val="en-US"/>
        </w:rPr>
      </w:pPr>
    </w:p>
    <w:p w:rsidR="00D953B3" w:rsidRPr="00621B32" w:rsidRDefault="00D953B3" w:rsidP="00D953B3">
      <w:pPr>
        <w:shd w:val="clear" w:color="auto" w:fill="FFFFFF"/>
        <w:spacing w:after="0" w:line="276" w:lineRule="auto"/>
        <w:ind w:firstLine="708"/>
        <w:outlineLvl w:val="0"/>
        <w:rPr>
          <w:rStyle w:val="a4"/>
          <w:rFonts w:ascii="Times New Roman" w:hAnsi="Times New Roman" w:cs="Times New Roman"/>
          <w:i/>
          <w:iCs/>
          <w:color w:val="2C2D2E"/>
          <w:sz w:val="24"/>
          <w:szCs w:val="24"/>
          <w:shd w:val="clear" w:color="auto" w:fill="FFFFFF"/>
          <w:lang w:val="en-US"/>
        </w:rPr>
      </w:pPr>
    </w:p>
    <w:p w:rsidR="00D953B3" w:rsidRPr="00D953B3" w:rsidRDefault="00D953B3" w:rsidP="00D953B3">
      <w:pPr>
        <w:shd w:val="clear" w:color="auto" w:fill="FFFFFF"/>
        <w:spacing w:after="0" w:line="276" w:lineRule="auto"/>
        <w:ind w:firstLine="708"/>
        <w:outlineLvl w:val="0"/>
        <w:rPr>
          <w:rFonts w:ascii="Times New Roman" w:eastAsia="Times New Roman" w:hAnsi="Times New Roman" w:cs="Times New Roman"/>
          <w:bCs/>
          <w:iCs/>
          <w:color w:val="111111"/>
          <w:kern w:val="36"/>
          <w:sz w:val="24"/>
          <w:szCs w:val="24"/>
          <w:lang w:val="en-US" w:eastAsia="ru-RU"/>
        </w:rPr>
      </w:pPr>
      <w:r w:rsidRPr="00A56557">
        <w:rPr>
          <w:rStyle w:val="a4"/>
          <w:rFonts w:ascii="Times New Roman" w:hAnsi="Times New Roman" w:cs="Times New Roman"/>
          <w:i/>
          <w:iCs/>
          <w:color w:val="2C2D2E"/>
          <w:sz w:val="24"/>
          <w:szCs w:val="24"/>
          <w:shd w:val="clear" w:color="auto" w:fill="FFFFFF"/>
          <w:lang w:val="en-US"/>
        </w:rPr>
        <w:t xml:space="preserve">Report: </w:t>
      </w:r>
      <w:r w:rsidRPr="00D953B3">
        <w:rPr>
          <w:rFonts w:ascii="Times New Roman" w:eastAsia="Times New Roman" w:hAnsi="Times New Roman" w:cs="Times New Roman"/>
          <w:bCs/>
          <w:iCs/>
          <w:color w:val="111111"/>
          <w:kern w:val="36"/>
          <w:sz w:val="24"/>
          <w:szCs w:val="24"/>
          <w:lang w:val="en-US" w:eastAsia="ru-RU"/>
        </w:rPr>
        <w:t xml:space="preserve">The Technology of Forming Student's Research Competence in the Process </w:t>
      </w:r>
      <w:r>
        <w:rPr>
          <w:rFonts w:ascii="Times New Roman" w:eastAsia="Times New Roman" w:hAnsi="Times New Roman" w:cs="Times New Roman"/>
          <w:bCs/>
          <w:iCs/>
          <w:color w:val="111111"/>
          <w:kern w:val="36"/>
          <w:sz w:val="24"/>
          <w:szCs w:val="24"/>
          <w:lang w:val="en-US" w:eastAsia="ru-RU"/>
        </w:rPr>
        <w:br/>
      </w:r>
      <w:r w:rsidRPr="00D953B3">
        <w:rPr>
          <w:rFonts w:ascii="Times New Roman" w:eastAsia="Times New Roman" w:hAnsi="Times New Roman" w:cs="Times New Roman"/>
          <w:bCs/>
          <w:iCs/>
          <w:color w:val="111111"/>
          <w:kern w:val="36"/>
          <w:sz w:val="24"/>
          <w:szCs w:val="24"/>
          <w:lang w:val="en-US" w:eastAsia="ru-RU"/>
        </w:rPr>
        <w:t>of Learning a Foreign Language (based on HSE Practices)</w:t>
      </w:r>
      <w:r>
        <w:rPr>
          <w:rFonts w:ascii="Times New Roman" w:eastAsia="Times New Roman" w:hAnsi="Times New Roman" w:cs="Times New Roman"/>
          <w:bCs/>
          <w:iCs/>
          <w:color w:val="111111"/>
          <w:kern w:val="36"/>
          <w:sz w:val="24"/>
          <w:szCs w:val="24"/>
          <w:lang w:val="en-US" w:eastAsia="ru-RU"/>
        </w:rPr>
        <w:t>.</w:t>
      </w:r>
    </w:p>
    <w:p w:rsidR="00D953B3" w:rsidRDefault="00D953B3" w:rsidP="00D953B3">
      <w:pPr>
        <w:pStyle w:val="a3"/>
        <w:spacing w:before="0" w:beforeAutospacing="0" w:after="0" w:afterAutospacing="0" w:line="276" w:lineRule="auto"/>
        <w:rPr>
          <w:color w:val="0E101A"/>
          <w:lang w:val="en-US"/>
        </w:rPr>
      </w:pPr>
    </w:p>
    <w:p w:rsidR="00D953B3" w:rsidRPr="00A56557" w:rsidRDefault="00D953B3" w:rsidP="00D953B3">
      <w:pPr>
        <w:spacing w:line="276" w:lineRule="auto"/>
        <w:ind w:firstLine="708"/>
        <w:jc w:val="both"/>
        <w:rPr>
          <w:rFonts w:ascii="Times New Roman" w:hAnsi="Times New Roman" w:cs="Times New Roman"/>
          <w:b/>
          <w:i/>
          <w:sz w:val="24"/>
          <w:szCs w:val="24"/>
        </w:rPr>
      </w:pPr>
      <w:r w:rsidRPr="00A56557">
        <w:rPr>
          <w:rFonts w:ascii="Times New Roman" w:hAnsi="Times New Roman" w:cs="Times New Roman"/>
          <w:b/>
          <w:i/>
          <w:sz w:val="24"/>
          <w:szCs w:val="24"/>
          <w:lang w:val="en-US"/>
        </w:rPr>
        <w:t>Annotation:</w:t>
      </w:r>
    </w:p>
    <w:p w:rsidR="00D953B3" w:rsidRPr="00343508" w:rsidRDefault="00D953B3" w:rsidP="00D953B3">
      <w:pPr>
        <w:pStyle w:val="a3"/>
        <w:spacing w:before="0" w:beforeAutospacing="0" w:after="0" w:afterAutospacing="0" w:line="276" w:lineRule="auto"/>
        <w:ind w:firstLine="708"/>
        <w:jc w:val="both"/>
        <w:rPr>
          <w:color w:val="0E101A"/>
          <w:lang w:val="en-US"/>
        </w:rPr>
      </w:pPr>
      <w:r w:rsidRPr="00343508">
        <w:rPr>
          <w:color w:val="0E101A"/>
          <w:lang w:val="en-US"/>
        </w:rPr>
        <w:t xml:space="preserve">Formation of student's research competence is an integral part of educational </w:t>
      </w:r>
      <w:proofErr w:type="spellStart"/>
      <w:r w:rsidRPr="00343508">
        <w:rPr>
          <w:color w:val="0E101A"/>
          <w:lang w:val="en-US"/>
        </w:rPr>
        <w:t>programmes</w:t>
      </w:r>
      <w:proofErr w:type="spellEnd"/>
      <w:r w:rsidRPr="00343508">
        <w:rPr>
          <w:color w:val="0E101A"/>
          <w:lang w:val="en-US"/>
        </w:rPr>
        <w:t xml:space="preserve"> at the School of Foreign Language, NRU HSE. The Research Seminar (NIS) contributes </w:t>
      </w:r>
      <w:r>
        <w:rPr>
          <w:color w:val="0E101A"/>
          <w:lang w:val="en-US"/>
        </w:rPr>
        <w:br/>
      </w:r>
      <w:r w:rsidRPr="00343508">
        <w:rPr>
          <w:color w:val="0E101A"/>
          <w:lang w:val="en-US"/>
        </w:rPr>
        <w:t xml:space="preserve">to the development of both students' research skills and the efficiency of foreign language learning. The discipline aims to develop students' skills in reading, writing academic texts, presentation </w:t>
      </w:r>
      <w:r>
        <w:rPr>
          <w:color w:val="0E101A"/>
          <w:lang w:val="en-US"/>
        </w:rPr>
        <w:br/>
      </w:r>
      <w:r w:rsidRPr="00343508">
        <w:rPr>
          <w:color w:val="0E101A"/>
          <w:lang w:val="en-US"/>
        </w:rPr>
        <w:t>of the obtained information; and development of forms and means of scientific communication, which implies mastering a deep range of vocabulary</w:t>
      </w:r>
      <w:proofErr w:type="gramStart"/>
      <w:r w:rsidRPr="00343508">
        <w:rPr>
          <w:color w:val="0E101A"/>
          <w:lang w:val="en-US"/>
        </w:rPr>
        <w:t>;</w:t>
      </w:r>
      <w:proofErr w:type="gramEnd"/>
      <w:r w:rsidRPr="00343508">
        <w:rPr>
          <w:color w:val="0E101A"/>
          <w:lang w:val="en-US"/>
        </w:rPr>
        <w:t xml:space="preserve"> awakening of imagination and enhancement of creative abilities, cultural awareness and critical thinking. All this contributes to the fulfilment of the EAP or ESP goals. To meet students' expectations, the textbook "The English Language. Russian-British Relations" (authors: O.A. </w:t>
      </w:r>
      <w:proofErr w:type="spellStart"/>
      <w:r w:rsidRPr="00343508">
        <w:rPr>
          <w:color w:val="0E101A"/>
          <w:lang w:val="en-US"/>
        </w:rPr>
        <w:t>Kolykhalova</w:t>
      </w:r>
      <w:proofErr w:type="spellEnd"/>
      <w:r w:rsidRPr="00343508">
        <w:rPr>
          <w:color w:val="0E101A"/>
          <w:lang w:val="en-US"/>
        </w:rPr>
        <w:t xml:space="preserve">, E.A. </w:t>
      </w:r>
      <w:proofErr w:type="spellStart"/>
      <w:r w:rsidRPr="00343508">
        <w:rPr>
          <w:color w:val="0E101A"/>
          <w:lang w:val="en-US"/>
        </w:rPr>
        <w:t>Vasilieva</w:t>
      </w:r>
      <w:proofErr w:type="spellEnd"/>
      <w:r w:rsidRPr="00343508">
        <w:rPr>
          <w:color w:val="0E101A"/>
          <w:lang w:val="en-US"/>
        </w:rPr>
        <w:t xml:space="preserve">, E.D. </w:t>
      </w:r>
      <w:proofErr w:type="spellStart"/>
      <w:r w:rsidRPr="00343508">
        <w:rPr>
          <w:color w:val="0E101A"/>
          <w:lang w:val="en-US"/>
        </w:rPr>
        <w:t>Sidorkina</w:t>
      </w:r>
      <w:proofErr w:type="spellEnd"/>
      <w:r w:rsidRPr="00343508">
        <w:rPr>
          <w:color w:val="0E101A"/>
          <w:lang w:val="en-US"/>
        </w:rPr>
        <w:t xml:space="preserve">, </w:t>
      </w:r>
      <w:r>
        <w:rPr>
          <w:color w:val="0E101A"/>
          <w:lang w:val="en-US"/>
        </w:rPr>
        <w:br/>
      </w:r>
      <w:r w:rsidRPr="00343508">
        <w:rPr>
          <w:color w:val="0E101A"/>
          <w:lang w:val="en-US"/>
        </w:rPr>
        <w:t xml:space="preserve">M. - KNORUS, 2023) has been designed. The presentation will discuss the distinctive features </w:t>
      </w:r>
      <w:r>
        <w:rPr>
          <w:color w:val="0E101A"/>
          <w:lang w:val="en-US"/>
        </w:rPr>
        <w:br/>
      </w:r>
      <w:r w:rsidRPr="00343508">
        <w:rPr>
          <w:color w:val="0E101A"/>
          <w:lang w:val="en-US"/>
        </w:rPr>
        <w:t xml:space="preserve">of the NIS "Russo-British Relations: Five Centuries of Fascinating History" </w:t>
      </w:r>
      <w:r>
        <w:rPr>
          <w:color w:val="0E101A"/>
          <w:lang w:val="en-US"/>
        </w:rPr>
        <w:br/>
      </w:r>
      <w:r w:rsidRPr="00343508">
        <w:rPr>
          <w:color w:val="0E101A"/>
          <w:lang w:val="en-US"/>
        </w:rPr>
        <w:t>and its implementation through the textbook.</w:t>
      </w:r>
    </w:p>
    <w:p w:rsidR="00E16692" w:rsidRPr="00D953B3" w:rsidRDefault="00E16692">
      <w:pPr>
        <w:rPr>
          <w:lang w:val="en-US"/>
        </w:rPr>
      </w:pPr>
    </w:p>
    <w:sectPr w:rsidR="00E16692" w:rsidRPr="00D953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13B"/>
    <w:rsid w:val="00621B32"/>
    <w:rsid w:val="00A2613B"/>
    <w:rsid w:val="00D953B3"/>
    <w:rsid w:val="00E16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4BEF2"/>
  <w15:chartTrackingRefBased/>
  <w15:docId w15:val="{F0E7A8A7-1A94-42E0-9AAA-AC35FDB2E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3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53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953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213</Words>
  <Characters>1218</Characters>
  <Application>Microsoft Office Word</Application>
  <DocSecurity>0</DocSecurity>
  <Lines>10</Lines>
  <Paragraphs>2</Paragraphs>
  <ScaleCrop>false</ScaleCrop>
  <Company>НИУ ВШЭ</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3</cp:revision>
  <dcterms:created xsi:type="dcterms:W3CDTF">2024-03-26T12:55:00Z</dcterms:created>
  <dcterms:modified xsi:type="dcterms:W3CDTF">2024-03-26T13:13:00Z</dcterms:modified>
</cp:coreProperties>
</file>